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1" w:type="dxa"/>
        <w:tblCellMar>
          <w:left w:w="70" w:type="dxa"/>
          <w:right w:w="70" w:type="dxa"/>
        </w:tblCellMar>
        <w:tblLook w:val="04A0"/>
      </w:tblPr>
      <w:tblGrid>
        <w:gridCol w:w="1425"/>
        <w:gridCol w:w="6328"/>
        <w:gridCol w:w="1248"/>
      </w:tblGrid>
      <w:tr w:rsidR="00F96A33" w:rsidRPr="00F96A33" w:rsidTr="00F96A33">
        <w:trPr>
          <w:trHeight w:val="391"/>
        </w:trPr>
        <w:tc>
          <w:tcPr>
            <w:tcW w:w="9001" w:type="dxa"/>
            <w:gridSpan w:val="3"/>
            <w:tcBorders>
              <w:top w:val="nil"/>
              <w:left w:val="nil"/>
              <w:bottom w:val="nil"/>
              <w:right w:val="nil"/>
            </w:tcBorders>
            <w:shd w:val="clear" w:color="auto" w:fill="auto"/>
            <w:noWrap/>
            <w:vAlign w:val="bottom"/>
            <w:hideMark/>
          </w:tcPr>
          <w:p w:rsidR="00F96A33" w:rsidRPr="00F96A33" w:rsidRDefault="00F96A33" w:rsidP="00F96A33">
            <w:pPr>
              <w:framePr w:hSpace="141" w:wrap="around" w:vAnchor="text" w:hAnchor="margin" w:y="1"/>
              <w:jc w:val="center"/>
              <w:rPr>
                <w:sz w:val="24"/>
                <w:szCs w:val="24"/>
              </w:rPr>
            </w:pPr>
            <w:r w:rsidRPr="00F96A33">
              <w:rPr>
                <w:rFonts w:ascii="Verdana" w:hAnsi="Verdana" w:cs="Arial"/>
                <w:b/>
                <w:bCs/>
              </w:rPr>
              <w:t>TABELA DE PAGAMENTO DOS SERVIDORES - MÊS: JUNHO/2011</w:t>
            </w:r>
          </w:p>
          <w:p w:rsidR="00F96A33" w:rsidRPr="00F96A33" w:rsidRDefault="00F96A33" w:rsidP="00F96A33">
            <w:pPr>
              <w:framePr w:hSpace="141" w:wrap="around" w:vAnchor="text" w:hAnchor="margin" w:y="1"/>
              <w:jc w:val="center"/>
              <w:rPr>
                <w:sz w:val="24"/>
                <w:szCs w:val="24"/>
              </w:rPr>
            </w:pPr>
            <w:r w:rsidRPr="00F96A33">
              <w:rPr>
                <w:rFonts w:ascii="Verdana" w:hAnsi="Verdana" w:cs="Arial"/>
                <w:b/>
                <w:bCs/>
              </w:rPr>
              <w:t> </w:t>
            </w:r>
          </w:p>
        </w:tc>
      </w:tr>
      <w:tr w:rsidR="00F96A33" w:rsidRPr="00F96A33" w:rsidTr="00F96A33">
        <w:trPr>
          <w:trHeight w:val="190"/>
        </w:trPr>
        <w:tc>
          <w:tcPr>
            <w:tcW w:w="1425" w:type="dxa"/>
            <w:tcBorders>
              <w:top w:val="single" w:sz="8" w:space="0" w:color="0000FF"/>
              <w:left w:val="single" w:sz="8" w:space="0" w:color="0000FF"/>
              <w:bottom w:val="nil"/>
              <w:right w:val="single" w:sz="4" w:space="0" w:color="0000FF"/>
            </w:tcBorders>
            <w:shd w:val="clear" w:color="auto" w:fill="auto"/>
            <w:noWrap/>
            <w:vAlign w:val="bottom"/>
            <w:hideMark/>
          </w:tcPr>
          <w:p w:rsidR="00F96A33" w:rsidRPr="00F96A33" w:rsidRDefault="00F96A33" w:rsidP="00F96A33">
            <w:pPr>
              <w:framePr w:hSpace="141" w:wrap="around" w:vAnchor="text" w:hAnchor="margin" w:y="1"/>
              <w:spacing w:line="190" w:lineRule="atLeast"/>
              <w:jc w:val="center"/>
              <w:rPr>
                <w:sz w:val="24"/>
                <w:szCs w:val="24"/>
              </w:rPr>
            </w:pPr>
            <w:r w:rsidRPr="00F96A33">
              <w:rPr>
                <w:rFonts w:ascii="Verdana" w:hAnsi="Verdana" w:cs="Arial"/>
                <w:b/>
              </w:rPr>
              <w:t>DIA/MÊS</w:t>
            </w:r>
          </w:p>
        </w:tc>
        <w:tc>
          <w:tcPr>
            <w:tcW w:w="7576" w:type="dxa"/>
            <w:gridSpan w:val="2"/>
            <w:tcBorders>
              <w:top w:val="single" w:sz="8" w:space="0" w:color="0000FF"/>
              <w:left w:val="single" w:sz="4" w:space="0" w:color="0000FF"/>
              <w:bottom w:val="single" w:sz="8" w:space="0" w:color="0000FF"/>
              <w:right w:val="single" w:sz="8" w:space="0" w:color="0000FF"/>
            </w:tcBorders>
            <w:shd w:val="clear" w:color="auto" w:fill="auto"/>
            <w:noWrap/>
            <w:vAlign w:val="bottom"/>
            <w:hideMark/>
          </w:tcPr>
          <w:p w:rsidR="00F96A33" w:rsidRPr="00F96A33" w:rsidRDefault="00F96A33" w:rsidP="00F96A33">
            <w:pPr>
              <w:framePr w:hSpace="141" w:wrap="around" w:vAnchor="text" w:hAnchor="margin" w:y="1"/>
              <w:spacing w:line="190" w:lineRule="atLeast"/>
              <w:jc w:val="center"/>
              <w:rPr>
                <w:sz w:val="24"/>
                <w:szCs w:val="24"/>
              </w:rPr>
            </w:pPr>
            <w:r w:rsidRPr="00F96A33">
              <w:rPr>
                <w:rFonts w:ascii="Verdana" w:hAnsi="Verdana" w:cs="Arial"/>
                <w:b/>
              </w:rPr>
              <w:t>ÓRGÃOS/SECRETARIAS</w:t>
            </w:r>
          </w:p>
        </w:tc>
      </w:tr>
      <w:tr w:rsidR="00F96A33" w:rsidRPr="00F96A33" w:rsidTr="00F96A33">
        <w:trPr>
          <w:cantSplit/>
          <w:trHeight w:val="3100"/>
        </w:trPr>
        <w:tc>
          <w:tcPr>
            <w:tcW w:w="1425" w:type="dxa"/>
            <w:tcBorders>
              <w:top w:val="single" w:sz="8" w:space="0" w:color="0000FF"/>
              <w:left w:val="single" w:sz="8" w:space="0" w:color="0000FF"/>
              <w:bottom w:val="single" w:sz="8" w:space="0" w:color="0000FF"/>
              <w:right w:val="nil"/>
            </w:tcBorders>
            <w:shd w:val="clear" w:color="auto" w:fill="auto"/>
            <w:noWrap/>
            <w:vAlign w:val="center"/>
            <w:hideMark/>
          </w:tcPr>
          <w:p w:rsidR="00F96A33" w:rsidRPr="00F96A33" w:rsidRDefault="00F96A33" w:rsidP="00F96A33">
            <w:pPr>
              <w:framePr w:hSpace="141" w:wrap="around" w:vAnchor="text" w:hAnchor="margin" w:y="1"/>
              <w:jc w:val="center"/>
              <w:rPr>
                <w:sz w:val="24"/>
                <w:szCs w:val="24"/>
              </w:rPr>
            </w:pPr>
            <w:r w:rsidRPr="00F96A33">
              <w:rPr>
                <w:rFonts w:ascii="Verdana" w:hAnsi="Verdana" w:cs="Arial"/>
                <w:b/>
                <w:bCs/>
              </w:rPr>
              <w:t xml:space="preserve">21 de junho </w:t>
            </w:r>
          </w:p>
        </w:tc>
        <w:tc>
          <w:tcPr>
            <w:tcW w:w="6328" w:type="dxa"/>
            <w:tcBorders>
              <w:top w:val="nil"/>
              <w:left w:val="single" w:sz="4" w:space="0" w:color="0000FF"/>
              <w:bottom w:val="nil"/>
              <w:right w:val="single" w:sz="4" w:space="0" w:color="0000FF"/>
            </w:tcBorders>
            <w:shd w:val="clear" w:color="auto" w:fill="auto"/>
            <w:vAlign w:val="center"/>
            <w:hideMark/>
          </w:tcPr>
          <w:p w:rsidR="00F96A33" w:rsidRPr="00F96A33" w:rsidRDefault="00F96A33" w:rsidP="00F96A33">
            <w:pPr>
              <w:framePr w:hSpace="141" w:wrap="around" w:vAnchor="text" w:hAnchor="margin" w:y="1"/>
              <w:jc w:val="both"/>
              <w:rPr>
                <w:sz w:val="24"/>
                <w:szCs w:val="24"/>
              </w:rPr>
            </w:pPr>
            <w:r w:rsidRPr="00F96A33">
              <w:rPr>
                <w:rFonts w:ascii="Verdana" w:hAnsi="Verdana" w:cs="Arial"/>
                <w:kern w:val="24"/>
              </w:rPr>
              <w:t xml:space="preserve">Governadoria do Estado, Vice-Governadoria, Secretaria Especial </w:t>
            </w:r>
            <w:proofErr w:type="gramStart"/>
            <w:r w:rsidRPr="00F96A33">
              <w:rPr>
                <w:rFonts w:ascii="Verdana" w:hAnsi="Verdana" w:cs="Arial"/>
                <w:kern w:val="24"/>
              </w:rPr>
              <w:t>da Casa Militar</w:t>
            </w:r>
            <w:proofErr w:type="gramEnd"/>
            <w:r w:rsidRPr="00F96A33">
              <w:rPr>
                <w:rFonts w:ascii="Verdana" w:hAnsi="Verdana" w:cs="Arial"/>
                <w:kern w:val="24"/>
              </w:rPr>
              <w:t xml:space="preserve">, Procuradoria Geral do Estado, Secretaria Especial de Assessoria ao Governador, Secretaria de Administração, Secretaria de Agricultura e Reforma Agrária, Secretaria da Fazenda, Secretaria da Casa Civil, Secretaria Especial de Imprensa, Secretaria Especial Cultura, Secretaria Especial da Mulher, Secretaria Especial de Esportes, Secretaria Especial de Articulação Social, Secretaria de Desenvolvimento e Articulação Regional, Secretaria Especial de Juventude e Emprego, Controladoria Geral do Estado, Secretaria de Desenvolvimento Econômico, Secretaria de Desenvolvimento Social e Direitos Humanos, Secretaria de </w:t>
            </w:r>
            <w:proofErr w:type="spellStart"/>
            <w:r w:rsidRPr="00F96A33">
              <w:rPr>
                <w:rFonts w:ascii="Verdana" w:hAnsi="Verdana" w:cs="Arial"/>
                <w:kern w:val="24"/>
              </w:rPr>
              <w:t>Ressocialização</w:t>
            </w:r>
            <w:proofErr w:type="spellEnd"/>
            <w:r w:rsidRPr="00F96A33">
              <w:rPr>
                <w:rFonts w:ascii="Verdana" w:hAnsi="Verdana" w:cs="Arial"/>
                <w:kern w:val="24"/>
              </w:rPr>
              <w:t>, Secretaria de Planejamento e Gestão, Secretaria de Saúde, Secretaria de Defesa Social (Polícia Civil),Secretaria de Defesa Social (Corpo de Bombeiros e Polícia Militar), Secretaria de Educação/CPM, Secretaria de Ciência, Tecnologia e Meio Ambiente, Secretaria de Transportes, Secretaria das Cidades, Secretaria de Recursos Hídricos e Energéticos, Secretaria de Turismo, DER, DETELPE, FUNASE, FUNDARPE, UPE, FIDEM, CONDEPE, HEMOPE, ITEP e IRH,FEPPA, Pensões Especiais, Pensionistas de Prefeituras e Pensionistas.</w:t>
            </w:r>
          </w:p>
        </w:tc>
        <w:tc>
          <w:tcPr>
            <w:tcW w:w="1248" w:type="dxa"/>
            <w:tcBorders>
              <w:top w:val="nil"/>
              <w:left w:val="nil"/>
              <w:bottom w:val="single" w:sz="8" w:space="0" w:color="0000FF"/>
              <w:right w:val="single" w:sz="4" w:space="0" w:color="0000FF"/>
            </w:tcBorders>
            <w:shd w:val="clear" w:color="auto" w:fill="auto"/>
            <w:noWrap/>
            <w:vAlign w:val="center"/>
            <w:hideMark/>
          </w:tcPr>
          <w:p w:rsidR="00F96A33" w:rsidRPr="00F96A33" w:rsidRDefault="00F96A33" w:rsidP="00F96A33">
            <w:pPr>
              <w:framePr w:hSpace="141" w:wrap="around" w:vAnchor="text" w:hAnchor="margin" w:y="1"/>
              <w:jc w:val="center"/>
              <w:rPr>
                <w:sz w:val="24"/>
                <w:szCs w:val="24"/>
              </w:rPr>
            </w:pPr>
            <w:r w:rsidRPr="00F96A33">
              <w:rPr>
                <w:rFonts w:ascii="Verdana" w:hAnsi="Verdana" w:cs="Arial"/>
                <w:b/>
                <w:bCs/>
              </w:rPr>
              <w:t>(inativos)</w:t>
            </w:r>
          </w:p>
        </w:tc>
      </w:tr>
      <w:tr w:rsidR="00F96A33" w:rsidRPr="00F96A33" w:rsidTr="00F96A33">
        <w:trPr>
          <w:trHeight w:val="481"/>
        </w:trPr>
        <w:tc>
          <w:tcPr>
            <w:tcW w:w="1425" w:type="dxa"/>
            <w:tcBorders>
              <w:top w:val="nil"/>
              <w:left w:val="single" w:sz="8" w:space="0" w:color="0000FF"/>
              <w:bottom w:val="single" w:sz="8" w:space="0" w:color="0000FF"/>
              <w:right w:val="single" w:sz="4" w:space="0" w:color="0000FF"/>
            </w:tcBorders>
            <w:shd w:val="clear" w:color="auto" w:fill="auto"/>
            <w:noWrap/>
            <w:hideMark/>
          </w:tcPr>
          <w:p w:rsidR="00F96A33" w:rsidRPr="00F96A33" w:rsidRDefault="00F96A33" w:rsidP="00F96A33">
            <w:pPr>
              <w:framePr w:hSpace="141" w:wrap="around" w:vAnchor="text" w:hAnchor="margin" w:y="1"/>
              <w:jc w:val="center"/>
              <w:rPr>
                <w:sz w:val="24"/>
                <w:szCs w:val="24"/>
              </w:rPr>
            </w:pPr>
            <w:r w:rsidRPr="00F96A33">
              <w:rPr>
                <w:rFonts w:ascii="Verdana" w:hAnsi="Verdana" w:cs="Arial"/>
                <w:b/>
                <w:bCs/>
              </w:rPr>
              <w:t xml:space="preserve">21 de junho </w:t>
            </w:r>
          </w:p>
        </w:tc>
        <w:tc>
          <w:tcPr>
            <w:tcW w:w="6328" w:type="dxa"/>
            <w:tcBorders>
              <w:top w:val="single" w:sz="8" w:space="0" w:color="0000FF"/>
              <w:left w:val="nil"/>
              <w:bottom w:val="single" w:sz="8" w:space="0" w:color="0000FF"/>
              <w:right w:val="single" w:sz="4" w:space="0" w:color="0000FF"/>
            </w:tcBorders>
            <w:shd w:val="clear" w:color="auto" w:fill="auto"/>
            <w:hideMark/>
          </w:tcPr>
          <w:p w:rsidR="00F96A33" w:rsidRPr="00F96A33" w:rsidRDefault="00F96A33" w:rsidP="00F96A33">
            <w:pPr>
              <w:framePr w:hSpace="141" w:wrap="around" w:vAnchor="text" w:hAnchor="margin" w:y="1"/>
              <w:jc w:val="center"/>
              <w:rPr>
                <w:sz w:val="24"/>
                <w:szCs w:val="24"/>
              </w:rPr>
            </w:pPr>
            <w:r w:rsidRPr="00F96A33">
              <w:rPr>
                <w:rFonts w:ascii="Verdana" w:hAnsi="Verdana" w:cs="Arial"/>
                <w:bCs/>
              </w:rPr>
              <w:t>Secretaria de Educação/CPM</w:t>
            </w:r>
          </w:p>
        </w:tc>
        <w:tc>
          <w:tcPr>
            <w:tcW w:w="1248" w:type="dxa"/>
            <w:tcBorders>
              <w:top w:val="nil"/>
              <w:left w:val="nil"/>
              <w:bottom w:val="single" w:sz="8" w:space="0" w:color="0000FF"/>
              <w:right w:val="single" w:sz="4" w:space="0" w:color="0000FF"/>
            </w:tcBorders>
            <w:shd w:val="clear" w:color="auto" w:fill="auto"/>
            <w:noWrap/>
            <w:hideMark/>
          </w:tcPr>
          <w:p w:rsidR="00F96A33" w:rsidRPr="00F96A33" w:rsidRDefault="00F96A33" w:rsidP="00F96A33">
            <w:pPr>
              <w:framePr w:hSpace="141" w:wrap="around" w:vAnchor="text" w:hAnchor="margin" w:y="1"/>
              <w:jc w:val="center"/>
              <w:rPr>
                <w:sz w:val="24"/>
                <w:szCs w:val="24"/>
              </w:rPr>
            </w:pPr>
            <w:r w:rsidRPr="00F96A33">
              <w:rPr>
                <w:rFonts w:ascii="Verdana" w:hAnsi="Verdana" w:cs="Arial"/>
                <w:b/>
                <w:bCs/>
              </w:rPr>
              <w:t>(ativos)</w:t>
            </w:r>
          </w:p>
        </w:tc>
      </w:tr>
      <w:tr w:rsidR="00F96A33" w:rsidRPr="00F96A33" w:rsidTr="00F96A33">
        <w:trPr>
          <w:trHeight w:val="2668"/>
        </w:trPr>
        <w:tc>
          <w:tcPr>
            <w:tcW w:w="1425" w:type="dxa"/>
            <w:tcBorders>
              <w:top w:val="nil"/>
              <w:left w:val="single" w:sz="8" w:space="0" w:color="0000FF"/>
              <w:bottom w:val="single" w:sz="8" w:space="0" w:color="0000FF"/>
              <w:right w:val="single" w:sz="4" w:space="0" w:color="0000FF"/>
            </w:tcBorders>
            <w:shd w:val="clear" w:color="auto" w:fill="auto"/>
            <w:noWrap/>
            <w:vAlign w:val="center"/>
            <w:hideMark/>
          </w:tcPr>
          <w:p w:rsidR="00F96A33" w:rsidRPr="00F96A33" w:rsidRDefault="00F96A33" w:rsidP="00F96A33">
            <w:pPr>
              <w:framePr w:hSpace="141" w:wrap="around" w:vAnchor="text" w:hAnchor="margin" w:y="1"/>
              <w:jc w:val="center"/>
              <w:rPr>
                <w:sz w:val="24"/>
                <w:szCs w:val="24"/>
              </w:rPr>
            </w:pPr>
            <w:r w:rsidRPr="00F96A33">
              <w:rPr>
                <w:rFonts w:ascii="Verdana" w:hAnsi="Verdana" w:cs="Arial"/>
                <w:b/>
                <w:bCs/>
              </w:rPr>
              <w:t xml:space="preserve">22 junho  </w:t>
            </w:r>
          </w:p>
        </w:tc>
        <w:tc>
          <w:tcPr>
            <w:tcW w:w="6328" w:type="dxa"/>
            <w:tcBorders>
              <w:top w:val="nil"/>
              <w:left w:val="nil"/>
              <w:bottom w:val="single" w:sz="8" w:space="0" w:color="0000FF"/>
              <w:right w:val="single" w:sz="4" w:space="0" w:color="0000FF"/>
            </w:tcBorders>
            <w:shd w:val="clear" w:color="auto" w:fill="auto"/>
            <w:vAlign w:val="center"/>
            <w:hideMark/>
          </w:tcPr>
          <w:p w:rsidR="00F96A33" w:rsidRPr="00F96A33" w:rsidRDefault="00F96A33" w:rsidP="00F96A33">
            <w:pPr>
              <w:framePr w:hSpace="141" w:wrap="around" w:vAnchor="text" w:hAnchor="margin" w:y="1"/>
              <w:jc w:val="both"/>
              <w:rPr>
                <w:sz w:val="24"/>
                <w:szCs w:val="24"/>
              </w:rPr>
            </w:pPr>
            <w:r w:rsidRPr="00F96A33">
              <w:rPr>
                <w:rFonts w:ascii="Verdana" w:hAnsi="Verdana" w:cs="Arial"/>
                <w:kern w:val="24"/>
              </w:rPr>
              <w:t xml:space="preserve">Governadoria do Estado, Vice-Governadoria, Secretaria Especial </w:t>
            </w:r>
            <w:proofErr w:type="gramStart"/>
            <w:r w:rsidRPr="00F96A33">
              <w:rPr>
                <w:rFonts w:ascii="Verdana" w:hAnsi="Verdana" w:cs="Arial"/>
                <w:kern w:val="24"/>
              </w:rPr>
              <w:t>da Casa Militar</w:t>
            </w:r>
            <w:proofErr w:type="gramEnd"/>
            <w:r w:rsidRPr="00F96A33">
              <w:rPr>
                <w:rFonts w:ascii="Verdana" w:hAnsi="Verdana" w:cs="Arial"/>
                <w:kern w:val="24"/>
              </w:rPr>
              <w:t xml:space="preserve">, Procuradoria Geral do Estado, Secretaria Especial de Assessoria ao Governador, Secretaria de Administração, Secretaria de Agricultura e Reforma Agrária, Secretaria da Casa Civil, Secretaria de Cultura, Secretaria de Imprensa, Secretaria Especial  da Mulher, Secretaria Especial de Esportes, Secretaria Especial de Articulação Social,  Secretaria Extraordinária da Copa, Secretaria de Desenvolvimento e Articulação Regional, Secretaria Especial de Juventude e Emprego, Controladoria Geral do Estado,  Secretaria de Desenvolvimento Econômico, Secretaria de Planejamento e Gestão, Secretaria de Ciência, Tecnologia e Meio Ambiente, Secretaria de Transportes, Secretaria de Saúde, Secretaria de Turismo, Secretaria das Cidades, Secretaria de Recursos Hídricos e Energéticos, Secretaria de Desenvolvimento Social e Direitos Humanos, Secretaria de </w:t>
            </w:r>
            <w:proofErr w:type="spellStart"/>
            <w:r w:rsidRPr="00F96A33">
              <w:rPr>
                <w:rFonts w:ascii="Verdana" w:hAnsi="Verdana" w:cs="Arial"/>
                <w:kern w:val="24"/>
              </w:rPr>
              <w:t>Ressocialização</w:t>
            </w:r>
            <w:proofErr w:type="spellEnd"/>
            <w:r w:rsidRPr="00F96A33">
              <w:rPr>
                <w:rFonts w:ascii="Verdana" w:hAnsi="Verdana" w:cs="Arial"/>
                <w:kern w:val="24"/>
              </w:rPr>
              <w:t>, Secretaria da Fazenda, Secretaria de Defesa Social (Corpo de Bombeiros Militar, Polícia Militar e Polícia Civil), Médicos Residentes, DER, DETELPE, FUNASE, FUNDARPE, FUNAPE, FACEPE, UPE, FIDEM, CONDEPE/AGPLPS, HEMOPE, ITEP, IPA, PERPART, CEHAB, EMPETUR, CPRH, AD/DIPER, ATI, Distrito Estadual de Fernando de Noronha e IRH (funcionários).</w:t>
            </w:r>
          </w:p>
        </w:tc>
        <w:tc>
          <w:tcPr>
            <w:tcW w:w="1248" w:type="dxa"/>
            <w:tcBorders>
              <w:top w:val="nil"/>
              <w:left w:val="nil"/>
              <w:bottom w:val="single" w:sz="8" w:space="0" w:color="0000FF"/>
              <w:right w:val="single" w:sz="4" w:space="0" w:color="0000FF"/>
            </w:tcBorders>
            <w:shd w:val="clear" w:color="auto" w:fill="auto"/>
            <w:noWrap/>
            <w:vAlign w:val="center"/>
            <w:hideMark/>
          </w:tcPr>
          <w:p w:rsidR="00F96A33" w:rsidRPr="00F96A33" w:rsidRDefault="00F96A33" w:rsidP="00F96A33">
            <w:pPr>
              <w:framePr w:hSpace="141" w:wrap="around" w:vAnchor="text" w:hAnchor="margin" w:y="1"/>
              <w:jc w:val="center"/>
              <w:rPr>
                <w:sz w:val="24"/>
                <w:szCs w:val="24"/>
              </w:rPr>
            </w:pPr>
            <w:r w:rsidRPr="00F96A33">
              <w:rPr>
                <w:rFonts w:ascii="Verdana" w:hAnsi="Verdana" w:cs="Arial"/>
                <w:b/>
                <w:bCs/>
              </w:rPr>
              <w:t>(ativos)</w:t>
            </w:r>
          </w:p>
        </w:tc>
      </w:tr>
      <w:tr w:rsidR="00F96A33" w:rsidRPr="00F96A33" w:rsidTr="00F96A33">
        <w:trPr>
          <w:trHeight w:val="76"/>
        </w:trPr>
        <w:tc>
          <w:tcPr>
            <w:tcW w:w="9001" w:type="dxa"/>
            <w:gridSpan w:val="3"/>
            <w:tcBorders>
              <w:top w:val="nil"/>
              <w:left w:val="nil"/>
              <w:bottom w:val="nil"/>
              <w:right w:val="nil"/>
            </w:tcBorders>
            <w:shd w:val="clear" w:color="auto" w:fill="auto"/>
            <w:vAlign w:val="center"/>
            <w:hideMark/>
          </w:tcPr>
          <w:p w:rsidR="00F96A33" w:rsidRPr="00F96A33" w:rsidRDefault="00F96A33" w:rsidP="00F96A33">
            <w:pPr>
              <w:framePr w:hSpace="141" w:wrap="around" w:vAnchor="text" w:hAnchor="margin" w:y="1"/>
              <w:spacing w:line="76" w:lineRule="atLeast"/>
              <w:rPr>
                <w:sz w:val="24"/>
                <w:szCs w:val="24"/>
              </w:rPr>
            </w:pPr>
            <w:r w:rsidRPr="00F96A33">
              <w:rPr>
                <w:rFonts w:ascii="Verdana" w:hAnsi="Verdana" w:cs="Arial"/>
                <w:b/>
                <w:bCs/>
              </w:rPr>
              <w:t> </w:t>
            </w:r>
          </w:p>
        </w:tc>
      </w:tr>
    </w:tbl>
    <w:p w:rsidR="00654752" w:rsidRDefault="00654752"/>
    <w:sectPr w:rsidR="00654752" w:rsidSect="00F96A33">
      <w:pgSz w:w="11907" w:h="16839" w:code="9"/>
      <w:pgMar w:top="1418" w:right="1701" w:bottom="1418"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roman"/>
    <w:pitch w:val="variable"/>
    <w:sig w:usb0="00000003" w:usb1="00000000" w:usb2="00000000" w:usb3="00000000" w:csb0="00000001" w:csb1="00000000"/>
  </w:font>
  <w:font w:name="Bodoni Poster">
    <w:altName w:val="Bodoni MT Black"/>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F96A33"/>
    <w:rsid w:val="00244037"/>
    <w:rsid w:val="00654752"/>
    <w:rsid w:val="0096582E"/>
    <w:rsid w:val="00E655EB"/>
    <w:rsid w:val="00ED34D0"/>
    <w:rsid w:val="00F96A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EB"/>
  </w:style>
  <w:style w:type="paragraph" w:styleId="Ttulo1">
    <w:name w:val="heading 1"/>
    <w:basedOn w:val="Normal"/>
    <w:next w:val="Normal"/>
    <w:link w:val="Ttulo1Char"/>
    <w:qFormat/>
    <w:rsid w:val="00E655EB"/>
    <w:pPr>
      <w:keepNext/>
      <w:jc w:val="center"/>
      <w:outlineLvl w:val="0"/>
    </w:pPr>
    <w:rPr>
      <w:rFonts w:ascii="Palatino" w:hAnsi="Palatino"/>
      <w:sz w:val="24"/>
    </w:rPr>
  </w:style>
  <w:style w:type="paragraph" w:styleId="Ttulo2">
    <w:name w:val="heading 2"/>
    <w:basedOn w:val="Normal"/>
    <w:next w:val="Normal"/>
    <w:link w:val="Ttulo2Char"/>
    <w:qFormat/>
    <w:rsid w:val="00E655EB"/>
    <w:pPr>
      <w:keepNext/>
      <w:jc w:val="center"/>
      <w:outlineLvl w:val="1"/>
    </w:pPr>
    <w:rPr>
      <w:rFonts w:ascii="Bodoni Poster" w:hAnsi="Bodoni Poster"/>
      <w:b/>
      <w:sz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55EB"/>
    <w:rPr>
      <w:rFonts w:ascii="Palatino" w:hAnsi="Palatino"/>
      <w:sz w:val="24"/>
    </w:rPr>
  </w:style>
  <w:style w:type="character" w:customStyle="1" w:styleId="Ttulo2Char">
    <w:name w:val="Título 2 Char"/>
    <w:basedOn w:val="Fontepargpadro"/>
    <w:link w:val="Ttulo2"/>
    <w:rsid w:val="00E655EB"/>
    <w:rPr>
      <w:rFonts w:ascii="Bodoni Poster" w:hAnsi="Bodoni Poster"/>
      <w:b/>
      <w:sz w:val="30"/>
    </w:rPr>
  </w:style>
</w:styles>
</file>

<file path=word/webSettings.xml><?xml version="1.0" encoding="utf-8"?>
<w:webSettings xmlns:r="http://schemas.openxmlformats.org/officeDocument/2006/relationships" xmlns:w="http://schemas.openxmlformats.org/wordprocessingml/2006/main">
  <w:divs>
    <w:div w:id="6823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2263</Characters>
  <Application>Microsoft Office Word</Application>
  <DocSecurity>0</DocSecurity>
  <Lines>18</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dc:creator>
  <cp:keywords/>
  <dc:description/>
  <cp:lastModifiedBy>Emanuel</cp:lastModifiedBy>
  <cp:revision>1</cp:revision>
  <dcterms:created xsi:type="dcterms:W3CDTF">2011-06-15T01:01:00Z</dcterms:created>
  <dcterms:modified xsi:type="dcterms:W3CDTF">2011-06-15T01:01:00Z</dcterms:modified>
</cp:coreProperties>
</file>